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05" w:rsidRPr="00794FCA" w:rsidRDefault="00794FCA" w:rsidP="00794FCA">
      <w:pPr>
        <w:jc w:val="center"/>
        <w:rPr>
          <w:b/>
          <w:sz w:val="24"/>
          <w:u w:val="single"/>
        </w:rPr>
      </w:pPr>
      <w:r w:rsidRPr="00794FCA">
        <w:rPr>
          <w:b/>
          <w:sz w:val="24"/>
          <w:u w:val="single"/>
        </w:rPr>
        <w:t>Unit 12: Section One Checklist</w:t>
      </w:r>
    </w:p>
    <w:tbl>
      <w:tblPr>
        <w:tblStyle w:val="TableGrid"/>
        <w:tblW w:w="10740" w:type="dxa"/>
        <w:tblLook w:val="04A0"/>
      </w:tblPr>
      <w:tblGrid>
        <w:gridCol w:w="8212"/>
        <w:gridCol w:w="402"/>
        <w:gridCol w:w="348"/>
        <w:gridCol w:w="402"/>
        <w:gridCol w:w="1376"/>
      </w:tblGrid>
      <w:tr w:rsidR="00E33805" w:rsidTr="00E33805">
        <w:trPr>
          <w:trHeight w:val="275"/>
        </w:trPr>
        <w:tc>
          <w:tcPr>
            <w:tcW w:w="8212" w:type="dxa"/>
          </w:tcPr>
          <w:p w:rsidR="00E33805" w:rsidRPr="00794FCA" w:rsidRDefault="00794FCA" w:rsidP="00794FCA">
            <w:pPr>
              <w:jc w:val="center"/>
              <w:rPr>
                <w:b/>
              </w:rPr>
            </w:pPr>
            <w:r w:rsidRPr="00794FCA">
              <w:rPr>
                <w:b/>
                <w:sz w:val="32"/>
              </w:rPr>
              <w:t>MANAGING THE ECONOMY</w:t>
            </w:r>
          </w:p>
        </w:tc>
        <w:tc>
          <w:tcPr>
            <w:tcW w:w="402" w:type="dxa"/>
          </w:tcPr>
          <w:p w:rsidR="00E33805" w:rsidRDefault="00E33805" w:rsidP="00E33805">
            <w:r>
              <w:sym w:font="Wingdings" w:char="F04A"/>
            </w:r>
          </w:p>
        </w:tc>
        <w:tc>
          <w:tcPr>
            <w:tcW w:w="348" w:type="dxa"/>
          </w:tcPr>
          <w:p w:rsidR="00E33805" w:rsidRDefault="00E33805" w:rsidP="00E33805">
            <w:r>
              <w:t>?</w:t>
            </w:r>
          </w:p>
        </w:tc>
        <w:tc>
          <w:tcPr>
            <w:tcW w:w="402" w:type="dxa"/>
          </w:tcPr>
          <w:p w:rsidR="00E33805" w:rsidRDefault="00E33805" w:rsidP="00E33805">
            <w:r>
              <w:sym w:font="Wingdings" w:char="F04C"/>
            </w:r>
          </w:p>
        </w:tc>
        <w:tc>
          <w:tcPr>
            <w:tcW w:w="1376" w:type="dxa"/>
          </w:tcPr>
          <w:p w:rsidR="00E33805" w:rsidRDefault="00E33805" w:rsidP="00111FAA">
            <w:pPr>
              <w:jc w:val="center"/>
            </w:pPr>
            <w:r>
              <w:t>Examined</w:t>
            </w:r>
            <w:r w:rsidR="00111FAA">
              <w:t xml:space="preserve"> before?</w:t>
            </w:r>
          </w:p>
        </w:tc>
      </w:tr>
      <w:tr w:rsidR="00E33805" w:rsidTr="00E33805">
        <w:trPr>
          <w:trHeight w:val="291"/>
        </w:trPr>
        <w:tc>
          <w:tcPr>
            <w:tcW w:w="8212" w:type="dxa"/>
          </w:tcPr>
          <w:p w:rsidR="00E33805" w:rsidRPr="00E33805" w:rsidRDefault="00E33805" w:rsidP="00E33805">
            <w:pPr>
              <w:rPr>
                <w:b/>
                <w:i/>
              </w:rPr>
            </w:pPr>
            <w:r w:rsidRPr="00E33805">
              <w:rPr>
                <w:b/>
                <w:i/>
              </w:rPr>
              <w:t>1.1 Economic Objectives of the Government</w:t>
            </w:r>
            <w:r>
              <w:rPr>
                <w:b/>
                <w:i/>
              </w:rPr>
              <w:t>:</w:t>
            </w:r>
          </w:p>
        </w:tc>
        <w:tc>
          <w:tcPr>
            <w:tcW w:w="402" w:type="dxa"/>
          </w:tcPr>
          <w:p w:rsidR="00E33805" w:rsidRDefault="00E33805" w:rsidP="00E33805"/>
        </w:tc>
        <w:tc>
          <w:tcPr>
            <w:tcW w:w="348" w:type="dxa"/>
          </w:tcPr>
          <w:p w:rsidR="00E33805" w:rsidRDefault="00E33805" w:rsidP="00E33805"/>
        </w:tc>
        <w:tc>
          <w:tcPr>
            <w:tcW w:w="402" w:type="dxa"/>
          </w:tcPr>
          <w:p w:rsidR="00E33805" w:rsidRDefault="00E33805" w:rsidP="00E33805"/>
        </w:tc>
        <w:tc>
          <w:tcPr>
            <w:tcW w:w="1376" w:type="dxa"/>
          </w:tcPr>
          <w:p w:rsidR="00E33805" w:rsidRDefault="00E33805" w:rsidP="00E33805"/>
        </w:tc>
      </w:tr>
      <w:tr w:rsidR="00E33805" w:rsidTr="00E33805">
        <w:trPr>
          <w:trHeight w:val="275"/>
        </w:trPr>
        <w:tc>
          <w:tcPr>
            <w:tcW w:w="8212" w:type="dxa"/>
          </w:tcPr>
          <w:p w:rsidR="00E33805" w:rsidRDefault="00E33805" w:rsidP="007A1E60">
            <w:r>
              <w:t>Candidates should understand the principal government objectives of economic growth, full employment, stable prices and balance of payments.</w:t>
            </w:r>
          </w:p>
        </w:tc>
        <w:tc>
          <w:tcPr>
            <w:tcW w:w="402" w:type="dxa"/>
          </w:tcPr>
          <w:p w:rsidR="00E33805" w:rsidRDefault="00E33805" w:rsidP="00E33805"/>
        </w:tc>
        <w:tc>
          <w:tcPr>
            <w:tcW w:w="348" w:type="dxa"/>
          </w:tcPr>
          <w:p w:rsidR="00E33805" w:rsidRDefault="00E33805" w:rsidP="00E33805"/>
        </w:tc>
        <w:tc>
          <w:tcPr>
            <w:tcW w:w="402" w:type="dxa"/>
          </w:tcPr>
          <w:p w:rsidR="00E33805" w:rsidRDefault="00E33805" w:rsidP="00E33805"/>
        </w:tc>
        <w:tc>
          <w:tcPr>
            <w:tcW w:w="1376" w:type="dxa"/>
          </w:tcPr>
          <w:p w:rsidR="00E33805" w:rsidRDefault="007A1E60" w:rsidP="00E33805">
            <w:r>
              <w:t>June 2011</w:t>
            </w:r>
          </w:p>
          <w:p w:rsidR="00E543F4" w:rsidRDefault="00E543F4" w:rsidP="00E33805">
            <w:r>
              <w:t>June 2012</w:t>
            </w:r>
          </w:p>
          <w:p w:rsidR="00E543F4" w:rsidRDefault="00E543F4" w:rsidP="00E33805">
            <w:r>
              <w:t>June 2013</w:t>
            </w:r>
          </w:p>
        </w:tc>
      </w:tr>
      <w:tr w:rsidR="00E33805" w:rsidTr="00E33805">
        <w:trPr>
          <w:trHeight w:val="291"/>
        </w:trPr>
        <w:tc>
          <w:tcPr>
            <w:tcW w:w="8212" w:type="dxa"/>
          </w:tcPr>
          <w:p w:rsidR="00E33805" w:rsidRDefault="00E33805" w:rsidP="007A1E60">
            <w:r>
              <w:t>Candidates should be aware of the methods available to measure economic performance, such as: inflation, economic growth, balance of payments, budget deficits and surpluses.</w:t>
            </w:r>
          </w:p>
        </w:tc>
        <w:tc>
          <w:tcPr>
            <w:tcW w:w="402" w:type="dxa"/>
          </w:tcPr>
          <w:p w:rsidR="00E33805" w:rsidRDefault="00E33805" w:rsidP="00E33805"/>
        </w:tc>
        <w:tc>
          <w:tcPr>
            <w:tcW w:w="348" w:type="dxa"/>
          </w:tcPr>
          <w:p w:rsidR="00E33805" w:rsidRDefault="00E33805" w:rsidP="00E33805"/>
        </w:tc>
        <w:tc>
          <w:tcPr>
            <w:tcW w:w="402" w:type="dxa"/>
          </w:tcPr>
          <w:p w:rsidR="00E33805" w:rsidRDefault="00E33805" w:rsidP="00E33805"/>
        </w:tc>
        <w:tc>
          <w:tcPr>
            <w:tcW w:w="1376" w:type="dxa"/>
          </w:tcPr>
          <w:p w:rsidR="00E33805" w:rsidRDefault="00E33805" w:rsidP="00E33805"/>
        </w:tc>
      </w:tr>
      <w:tr w:rsidR="00E33805" w:rsidTr="00E33805">
        <w:trPr>
          <w:trHeight w:val="275"/>
        </w:trPr>
        <w:tc>
          <w:tcPr>
            <w:tcW w:w="8212" w:type="dxa"/>
          </w:tcPr>
          <w:p w:rsidR="00E33805" w:rsidRDefault="00E33805" w:rsidP="00E33805">
            <w:r>
              <w:t>Candidates should be aware that conflicts can arise when attempting to achieve these objectives and the links to equity and equality.</w:t>
            </w:r>
          </w:p>
        </w:tc>
        <w:tc>
          <w:tcPr>
            <w:tcW w:w="402" w:type="dxa"/>
          </w:tcPr>
          <w:p w:rsidR="00E33805" w:rsidRDefault="00E33805" w:rsidP="00E33805"/>
        </w:tc>
        <w:tc>
          <w:tcPr>
            <w:tcW w:w="348" w:type="dxa"/>
          </w:tcPr>
          <w:p w:rsidR="00E33805" w:rsidRDefault="00E33805" w:rsidP="00E33805"/>
        </w:tc>
        <w:tc>
          <w:tcPr>
            <w:tcW w:w="402" w:type="dxa"/>
          </w:tcPr>
          <w:p w:rsidR="00E33805" w:rsidRDefault="00E33805" w:rsidP="00E33805"/>
        </w:tc>
        <w:tc>
          <w:tcPr>
            <w:tcW w:w="1376" w:type="dxa"/>
          </w:tcPr>
          <w:p w:rsidR="00E33805" w:rsidRDefault="00E33805" w:rsidP="00E33805"/>
        </w:tc>
      </w:tr>
      <w:tr w:rsidR="00E33805" w:rsidTr="00E33805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 xml:space="preserve">Candidates should consider how ethical issues affect the achievement of government objectives. </w:t>
            </w:r>
          </w:p>
        </w:tc>
        <w:tc>
          <w:tcPr>
            <w:tcW w:w="402" w:type="dxa"/>
          </w:tcPr>
          <w:p w:rsidR="00E33805" w:rsidRDefault="00E33805" w:rsidP="00E33805"/>
        </w:tc>
        <w:tc>
          <w:tcPr>
            <w:tcW w:w="348" w:type="dxa"/>
          </w:tcPr>
          <w:p w:rsidR="00E33805" w:rsidRDefault="00E33805" w:rsidP="00E33805"/>
        </w:tc>
        <w:tc>
          <w:tcPr>
            <w:tcW w:w="402" w:type="dxa"/>
          </w:tcPr>
          <w:p w:rsidR="00E33805" w:rsidRDefault="00E33805" w:rsidP="00E33805"/>
        </w:tc>
        <w:tc>
          <w:tcPr>
            <w:tcW w:w="1376" w:type="dxa"/>
          </w:tcPr>
          <w:p w:rsidR="00E33805" w:rsidRDefault="00E543F4" w:rsidP="00E33805">
            <w:r>
              <w:t>June 2013</w:t>
            </w:r>
            <w:bookmarkStart w:id="0" w:name="_GoBack"/>
            <w:bookmarkEnd w:id="0"/>
          </w:p>
        </w:tc>
      </w:tr>
      <w:tr w:rsidR="00E33805" w:rsidTr="00E33805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 xml:space="preserve">Candidates should be aware of the benefits and drawbacks of the welfare state and the </w:t>
            </w:r>
            <w:proofErr w:type="gramStart"/>
            <w:r>
              <w:t>alternative  of</w:t>
            </w:r>
            <w:proofErr w:type="gramEnd"/>
            <w:r>
              <w:t xml:space="preserve"> individuals providing for themselves.</w:t>
            </w:r>
          </w:p>
          <w:p w:rsidR="00E33805" w:rsidRDefault="00E33805" w:rsidP="00E33805"/>
        </w:tc>
        <w:tc>
          <w:tcPr>
            <w:tcW w:w="402" w:type="dxa"/>
          </w:tcPr>
          <w:p w:rsidR="00E33805" w:rsidRDefault="00E33805" w:rsidP="00E33805"/>
        </w:tc>
        <w:tc>
          <w:tcPr>
            <w:tcW w:w="348" w:type="dxa"/>
          </w:tcPr>
          <w:p w:rsidR="00E33805" w:rsidRDefault="00E33805" w:rsidP="00E33805"/>
        </w:tc>
        <w:tc>
          <w:tcPr>
            <w:tcW w:w="402" w:type="dxa"/>
          </w:tcPr>
          <w:p w:rsidR="00E33805" w:rsidRDefault="00E33805" w:rsidP="00E33805"/>
        </w:tc>
        <w:tc>
          <w:tcPr>
            <w:tcW w:w="1376" w:type="dxa"/>
          </w:tcPr>
          <w:p w:rsidR="00E33805" w:rsidRDefault="00E33805" w:rsidP="00E33805"/>
        </w:tc>
      </w:tr>
      <w:tr w:rsidR="00E33805" w:rsidTr="007A1E60">
        <w:trPr>
          <w:trHeight w:val="309"/>
        </w:trPr>
        <w:tc>
          <w:tcPr>
            <w:tcW w:w="8212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33805" w:rsidP="007A1E60"/>
        </w:tc>
      </w:tr>
      <w:tr w:rsidR="00E33805" w:rsidTr="007A1E60">
        <w:trPr>
          <w:trHeight w:val="309"/>
        </w:trPr>
        <w:tc>
          <w:tcPr>
            <w:tcW w:w="8212" w:type="dxa"/>
          </w:tcPr>
          <w:p w:rsidR="00E33805" w:rsidRPr="00E33805" w:rsidRDefault="00E33805" w:rsidP="007A1E60">
            <w:pPr>
              <w:rPr>
                <w:b/>
                <w:i/>
              </w:rPr>
            </w:pPr>
            <w:r w:rsidRPr="00E33805">
              <w:rPr>
                <w:b/>
                <w:i/>
              </w:rPr>
              <w:t>1.2 The Economy at Work</w:t>
            </w:r>
            <w:r>
              <w:rPr>
                <w:b/>
                <w:i/>
              </w:rPr>
              <w:t>:</w:t>
            </w:r>
          </w:p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33805" w:rsidP="007A1E60"/>
        </w:tc>
      </w:tr>
      <w:tr w:rsidR="00E33805" w:rsidTr="007A1E60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>Candidates should be aware of the differences between free market and mixed economies.</w:t>
            </w:r>
          </w:p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33805" w:rsidP="007A1E60"/>
        </w:tc>
      </w:tr>
      <w:tr w:rsidR="00E33805" w:rsidTr="007A1E60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>Candidates should understand market failure as the inability of the market system to allocate resources efficiently.</w:t>
            </w:r>
          </w:p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33805" w:rsidP="007A1E60"/>
        </w:tc>
      </w:tr>
      <w:tr w:rsidR="00E33805" w:rsidTr="007A1E60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>Candidates should understand externalities as the difference between social costs (benefits) and private costs (benefits), and apply the concepts in a relevant context.</w:t>
            </w:r>
          </w:p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543F4" w:rsidP="007A1E60">
            <w:r>
              <w:t>June 2012</w:t>
            </w:r>
          </w:p>
          <w:p w:rsidR="00E543F4" w:rsidRDefault="00E543F4" w:rsidP="007A1E60">
            <w:r>
              <w:t>June 2013</w:t>
            </w:r>
          </w:p>
        </w:tc>
      </w:tr>
      <w:tr w:rsidR="00E33805" w:rsidTr="00E33805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 xml:space="preserve">Candidates should be able to explain the characteristics of the economic cycle: boom, </w:t>
            </w:r>
          </w:p>
          <w:p w:rsidR="00E33805" w:rsidRDefault="00E33805" w:rsidP="00E33805">
            <w:proofErr w:type="gramStart"/>
            <w:r>
              <w:t>recession</w:t>
            </w:r>
            <w:proofErr w:type="gramEnd"/>
            <w:r>
              <w:t>, slump and recovery.</w:t>
            </w:r>
          </w:p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7A1E60" w:rsidP="007A1E60">
            <w:r>
              <w:t>June 2011</w:t>
            </w:r>
          </w:p>
        </w:tc>
      </w:tr>
      <w:tr w:rsidR="00E33805" w:rsidTr="007A1E60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 xml:space="preserve">Candidates need to consider how the </w:t>
            </w:r>
            <w:proofErr w:type="gramStart"/>
            <w:r>
              <w:t>government  collects</w:t>
            </w:r>
            <w:proofErr w:type="gramEnd"/>
            <w:r>
              <w:t xml:space="preserve"> revenue and its patterns of expenditure.</w:t>
            </w:r>
          </w:p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543F4" w:rsidP="007A1E60">
            <w:r>
              <w:t>June 2012</w:t>
            </w:r>
          </w:p>
        </w:tc>
      </w:tr>
      <w:tr w:rsidR="00E33805" w:rsidTr="00E33805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 xml:space="preserve">Candidates should be aware of how the government can affect levels of income and </w:t>
            </w:r>
          </w:p>
          <w:p w:rsidR="00E33805" w:rsidRDefault="00E33805" w:rsidP="00E33805">
            <w:proofErr w:type="gramStart"/>
            <w:r>
              <w:t>expenditure</w:t>
            </w:r>
            <w:proofErr w:type="gramEnd"/>
            <w:r>
              <w:t xml:space="preserve"> through fiscal policies.</w:t>
            </w:r>
          </w:p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7A1E60" w:rsidP="007A1E60">
            <w:r>
              <w:t>June 2011</w:t>
            </w:r>
          </w:p>
        </w:tc>
      </w:tr>
      <w:tr w:rsidR="00E33805" w:rsidTr="007A1E60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 xml:space="preserve">Candidates should be familiar with the role of the Bank of England in controlling the level of demand. </w:t>
            </w:r>
          </w:p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33805" w:rsidP="007A1E60"/>
        </w:tc>
      </w:tr>
      <w:tr w:rsidR="00E33805" w:rsidTr="00E33805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>Candidates should be aware of the use of interest rates to control inflation.</w:t>
            </w:r>
          </w:p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33805" w:rsidP="007A1E60"/>
        </w:tc>
      </w:tr>
      <w:tr w:rsidR="00E33805" w:rsidTr="007A1E60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>Candidates should be familiar with supply side policies such as: education and training, incentives to work and competition policy.</w:t>
            </w:r>
          </w:p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543F4" w:rsidP="007A1E60">
            <w:r>
              <w:t>June 2013</w:t>
            </w:r>
          </w:p>
        </w:tc>
      </w:tr>
      <w:tr w:rsidR="00E33805" w:rsidTr="00E33805">
        <w:trPr>
          <w:trHeight w:val="309"/>
        </w:trPr>
        <w:tc>
          <w:tcPr>
            <w:tcW w:w="8212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33805" w:rsidP="007A1E60"/>
        </w:tc>
      </w:tr>
      <w:tr w:rsidR="00E33805" w:rsidTr="007A1E60">
        <w:trPr>
          <w:trHeight w:val="309"/>
        </w:trPr>
        <w:tc>
          <w:tcPr>
            <w:tcW w:w="8212" w:type="dxa"/>
          </w:tcPr>
          <w:p w:rsidR="00E33805" w:rsidRPr="00E33805" w:rsidRDefault="00E33805" w:rsidP="007A1E60">
            <w:pPr>
              <w:rPr>
                <w:b/>
                <w:i/>
              </w:rPr>
            </w:pPr>
            <w:r w:rsidRPr="00E33805">
              <w:rPr>
                <w:b/>
                <w:i/>
              </w:rPr>
              <w:t>1.3 The Role of the European Union (EU):</w:t>
            </w:r>
          </w:p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33805" w:rsidP="007A1E60"/>
        </w:tc>
      </w:tr>
      <w:tr w:rsidR="00E33805" w:rsidTr="00E33805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>Candidates should understand the significance of the EU as a Single European Market.</w:t>
            </w:r>
          </w:p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CB4A57" w:rsidP="007A1E60">
            <w:r>
              <w:t>June 2011</w:t>
            </w:r>
          </w:p>
        </w:tc>
      </w:tr>
      <w:tr w:rsidR="00E33805" w:rsidTr="007A1E60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>Candidates should know the potential benefits and drawbacks of the UK joining the Euro.</w:t>
            </w:r>
          </w:p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348" w:type="dxa"/>
          </w:tcPr>
          <w:p w:rsidR="00E33805" w:rsidRDefault="00E33805" w:rsidP="007A1E60"/>
        </w:tc>
        <w:tc>
          <w:tcPr>
            <w:tcW w:w="402" w:type="dxa"/>
          </w:tcPr>
          <w:p w:rsidR="00E33805" w:rsidRDefault="00E33805" w:rsidP="007A1E60"/>
        </w:tc>
        <w:tc>
          <w:tcPr>
            <w:tcW w:w="1376" w:type="dxa"/>
          </w:tcPr>
          <w:p w:rsidR="00E33805" w:rsidRDefault="00E33805" w:rsidP="007A1E60"/>
        </w:tc>
      </w:tr>
      <w:tr w:rsidR="00E33805" w:rsidTr="00E33805">
        <w:trPr>
          <w:trHeight w:val="309"/>
        </w:trPr>
        <w:tc>
          <w:tcPr>
            <w:tcW w:w="8212" w:type="dxa"/>
          </w:tcPr>
          <w:p w:rsidR="00E33805" w:rsidRDefault="00E33805" w:rsidP="00E33805">
            <w:r>
              <w:t>Candidates should have an appreciation of the potential impact on the UK economy of EU enlargement.</w:t>
            </w:r>
          </w:p>
        </w:tc>
        <w:tc>
          <w:tcPr>
            <w:tcW w:w="402" w:type="dxa"/>
          </w:tcPr>
          <w:p w:rsidR="00E33805" w:rsidRDefault="00E33805" w:rsidP="00E33805"/>
        </w:tc>
        <w:tc>
          <w:tcPr>
            <w:tcW w:w="348" w:type="dxa"/>
          </w:tcPr>
          <w:p w:rsidR="00E33805" w:rsidRDefault="00E33805" w:rsidP="00E33805"/>
        </w:tc>
        <w:tc>
          <w:tcPr>
            <w:tcW w:w="402" w:type="dxa"/>
          </w:tcPr>
          <w:p w:rsidR="00E33805" w:rsidRDefault="00E33805" w:rsidP="00E33805"/>
        </w:tc>
        <w:tc>
          <w:tcPr>
            <w:tcW w:w="1376" w:type="dxa"/>
          </w:tcPr>
          <w:p w:rsidR="00E33805" w:rsidRDefault="00E33805" w:rsidP="00E33805"/>
        </w:tc>
      </w:tr>
    </w:tbl>
    <w:p w:rsidR="00E33805" w:rsidRDefault="00E33805" w:rsidP="00E33805"/>
    <w:sectPr w:rsidR="00E33805" w:rsidSect="00E33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805"/>
    <w:rsid w:val="00111FAA"/>
    <w:rsid w:val="004048A3"/>
    <w:rsid w:val="00794FCA"/>
    <w:rsid w:val="007A1E60"/>
    <w:rsid w:val="00967E32"/>
    <w:rsid w:val="00AA4652"/>
    <w:rsid w:val="00CB4A57"/>
    <w:rsid w:val="00E33805"/>
    <w:rsid w:val="00E5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B.Shearing</dc:creator>
  <cp:lastModifiedBy>2dta</cp:lastModifiedBy>
  <cp:revision>5</cp:revision>
  <dcterms:created xsi:type="dcterms:W3CDTF">2014-04-29T08:24:00Z</dcterms:created>
  <dcterms:modified xsi:type="dcterms:W3CDTF">2014-05-07T17:35:00Z</dcterms:modified>
</cp:coreProperties>
</file>